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КАЗАХСКИЙ НАЦИОНАЛЬНЫЙ УНИВЕРСИТЕТ ИМЕНИ АЛЬ-ФАРАБИ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Факультет медицины и здравоохранения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Высшая медицинская школа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Кафедра фундаментальной медицины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График самостоятельной работы студентов (СРС)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MiF1202 "Морфология и физиология человека"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(12 кредитов)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весенний семестр 2024 уч.год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41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41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41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18"/>
        <w:gridCol w:w="4883"/>
        <w:gridCol w:w="1655"/>
        <w:gridCol w:w="2105"/>
        <w:gridCol w:w="903"/>
        <w:tblGridChange w:id="0">
          <w:tblGrid>
            <w:gridCol w:w="718"/>
            <w:gridCol w:w="4883"/>
            <w:gridCol w:w="1655"/>
            <w:gridCol w:w="2105"/>
            <w:gridCol w:w="903"/>
          </w:tblGrid>
        </w:tblGridChange>
      </w:tblGrid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hanging="66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Задачи СРС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Тип исполнения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Крайний срок сдачи (учебная неделя)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балл</w:t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hanging="66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«Роль мимических мышц в различных выражениях лица».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br w:type="textWrapping"/>
              <w:t xml:space="preserve">Для выполнения этой групповой самостоятельной работы Вам нужно поделиться на группы по 5 человек.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Сфотографируйте свое выражение лица, показывая одну из эмоций: страх, гнев, радость, грусть, удивление, презрение и так далее.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фото нарисуйте направление мышечных пучков каждой мышцы, которая участвует в этом выражении лица.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Подпишите каждую мышцу.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Ваша фотография должна быть высокого качества, а ваше лицо должно занимать не менее 90% всей фотографии.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неделя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hanging="6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13" w:right="56" w:firstLine="1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«Нервные блоки лица». 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13" w:right="56" w:firstLine="1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13" w:right="56" w:firstLine="1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Перед сверлением зуба пациента стоматолог обычно делает пациенту укол местного анестетика, такого как гидрохлорид прокаина или лидокаин. Инъекция делается во ротовой полости рядом с местом расположения нервов, которые иннервируют конкретный зуб. Когда анестетик достигает нейронов, определенные области лица, рта и языка теряют чувствительность или немеют. Препарат действует, блокируя нейроны, сообщающиеся с ЦНС. Мозг не осознает наличия болезненных раздражителей во рту. Найдите информацию о натриевых каналах, управляемых напряжением, в нейронах, обсудите механизм действия процедуры онемения с преподавателем и проведите исследовательскую работу в команде. Нарисуйте диаграмму, чтобы описать нервы, связанные с региональными блоками зубной боли и местами инъекций, с вашими анатомическими знаниями. Работайте в команде. Проведите исследование, обобщите и представьте его в виде отчета или презентации.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13" w:right="56" w:firstLine="1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Источник: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13" w:right="5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4" w:right="56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https://www.nysora.com/techniques/head-and-neck-blocks/nerve-blocks-face/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4" w:right="0" w:hanging="33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https://pdfs.semanticscholar.org/15f9/1c205b5e09554d40b8c5a333e5018e4b6bfc.pdf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неделя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выполнения СР используются учебники и источники, представленные в курсе, а также самостоятельно найденная литература. СРС сдается строго по графику. Только при определенных обстоятельствах (при наличии документального подтверждения уважительной причины) СРС могут приниматься вне графика.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Оценочный лист самостоятельной работы студента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36.0" w:type="dxa"/>
        <w:tblLayout w:type="fixed"/>
        <w:tblLook w:val="0400"/>
      </w:tblPr>
      <w:tblGrid>
        <w:gridCol w:w="3280"/>
        <w:gridCol w:w="3242"/>
        <w:gridCol w:w="3543"/>
        <w:tblGridChange w:id="0">
          <w:tblGrid>
            <w:gridCol w:w="3280"/>
            <w:gridCol w:w="3242"/>
            <w:gridCol w:w="3543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Оформление материала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 баллов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 в соответствии с общими и техническими требованиями, включая список и ссылки на использованную литературу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24-17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баллов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 в соответствии с общими и техническими требованиями, некорректно оформлены или не представлены ссылки на использованную литературу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16-0 баллов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Оформлен небрежно, есть нарушения в структуре материала, нет ссылок на использованные источники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Содержание материала и его информативность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 баллов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Соответствует теме и заданию. Полностью донесена вся необходимая информация.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24-17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баллов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Частично соответствует теме/заданию. Перегружен материалом, либо информации недостаточно.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16-0 баллов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 соответствует теме/ заданию.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Объем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баллов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 представляет собой законченный труд. Все разделы/ компоненты представлены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24-17 баллов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Выполнено до 50% работы. Представлены основные разделы/ компоненты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16-0 баллов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Выполнено до 30% работы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Представлены основные разделы/компоненты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Владение материалом. Доклад.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баллов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Свободное владение материалом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24-17 баллов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Неполное владение материалом. Информация донесена с неточностями.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16-0 баллов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Выполненная работа не отражает владение материалом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ysora.com/techniques/head-and-neck-blocks/nerve-blocks-face/" TargetMode="External"/><Relationship Id="rId8" Type="http://schemas.openxmlformats.org/officeDocument/2006/relationships/hyperlink" Target="https://pdfs.semanticscholar.org/15f9/1c205b5e09554d40b8c5a333e5018e4b6bf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FVsip/JY+9mnjjNjmtJbTildg==">CgMxLjA4AHIhMWNhTFk0dzcyRFZvTVNyUkFmYTNoeFVzd2duX3dVaS10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